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firstLine="709"/>
        <w:jc w:val="center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ИНФОРМАЦИЯ ПО ВОПРОСУ № 2</w:t>
      </w:r>
    </w:p>
    <w:p>
      <w:pPr>
        <w:pStyle w:val="Normal"/>
        <w:suppressAutoHyphens w:val="true"/>
        <w:spacing w:lineRule="auto" w:line="240" w:before="0" w:after="0"/>
        <w:ind w:hanging="0"/>
        <w:jc w:val="center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  <w:r>
        <w:rPr>
          <w:rFonts w:eastAsia="Times New Roman" w:cs="Times New Roman" w:ascii="Times New Roman" w:hAnsi="Times New Roman"/>
          <w:color w:val="000000"/>
          <w:spacing w:val="0"/>
          <w:kern w:val="0"/>
          <w:sz w:val="28"/>
          <w:szCs w:val="28"/>
          <w:shd w:fill="auto" w:val="clear"/>
          <w:lang w:val="ru-RU" w:eastAsia="ru-RU" w:bidi="ar-SA"/>
        </w:rPr>
        <w:t>Оказание поддержки юридическим лицам и индивидуальным предпринимателям, осуществляющим деятельность в социальной сфере, включая финансовую поддержку, предоставление налоговых преференций в соответствии</w:t>
        <w:br/>
        <w:t>с законодательством</w:t>
      </w:r>
      <w:r>
        <w:rPr>
          <w:rFonts w:cs="Times New Roman" w:ascii="Times New Roman" w:hAnsi="Times New Roman"/>
          <w:color w:val="000000"/>
          <w:sz w:val="28"/>
          <w:szCs w:val="28"/>
          <w:shd w:fill="auto" w:val="clear"/>
        </w:rPr>
        <w:t>"</w:t>
      </w:r>
    </w:p>
    <w:p>
      <w:pPr>
        <w:pStyle w:val="Normal"/>
        <w:suppressAutoHyphens w:val="true"/>
        <w:spacing w:lineRule="auto" w:line="240" w:before="0" w:after="0"/>
        <w:ind w:hanging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I. Финансовая поддержка социальных предприятий, предоставляемая Министерством экономического развития Омской области.</w:t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Присвоение субъектам малого и среднего предпринимательства (далее – СМСП) статуса социального предприятия обеспечивает возможность участия СМСП в конкурсных отборах на предоставление финансовой поддержки, проводимых Министерством экономического развития Омской области (далее – Минэкономразвития).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 2024 году в рамках подпрограммы "Развитие малого и среднего предпринимательства в Омской области" государственной программы Омской области "Развитие экономического потенциала Омской области, утвержденной постановлением Правительства Омской области от 28 октября 2023 года № 579-п,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Минэкономразвития </w:t>
      </w:r>
      <w:r>
        <w:rPr>
          <w:rFonts w:cs="Times New Roman" w:ascii="Times New Roman" w:hAnsi="Times New Roman"/>
          <w:color w:val="000000"/>
          <w:sz w:val="28"/>
          <w:szCs w:val="28"/>
        </w:rPr>
        <w:t>предоставлена финансовая поддержка 27 социальным предприятиям в объеме 14,6 млн рублей в следующих формах: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1) субсидии на возмещение части затрат, связанных с осуществлением социально ответственной деятельности, направленной на решение социальных проблем, в том числе путем создания частных детских садов (6 получателей</w:t>
        <w:br/>
        <w:t>в сумме 2,4 млн рублей);</w:t>
      </w:r>
    </w:p>
    <w:p>
      <w:pPr>
        <w:pStyle w:val="ConsPlusNormal"/>
        <w:ind w:firstLine="709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2) гранты в форме субсидий СМСП, включенным в реестр социальных предпринимателей (признанным в установленном законодательством порядке социальными предприятиями), на финансовое обеспечение затрат, связанных</w:t>
        <w:br/>
        <w:t>с реализацией проектов (далее – гранты) (19 получателей в сумме 9,2 млн рублей);</w:t>
      </w:r>
    </w:p>
    <w:p>
      <w:pPr>
        <w:pStyle w:val="ConsPlusNormal"/>
        <w:ind w:firstLine="709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3) субсидии СМСП – участникам (резидентам) Омского кластера социальных инноваций на финансовое обеспечение (возмещение) затрат, связанных</w:t>
        <w:br/>
        <w:t>с реализацией совместных проектов (2 получателя в сумме 3,0 млн рублей).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2025 году в областном бюджете на реализацию мер по поддержке социальных предприятий предусмотрено 6,4 млн рублей, в том числе: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1) на предоставление субсидий на возмещение части затрат, связанных</w:t>
        <w:br/>
        <w:t>с осуществлением социально ответственной деятельности, направленной</w:t>
        <w:br/>
        <w:t>на решение социальных проблем, – 2,4 млн рублей;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2) на предоставление субсидий СМСП – резидентам Омского кластера социальных инноваций на реализацию совместных проектов – 4,0 млн рублей.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Социальные предприятия также имеют возможность получить финансовую поддержку в виде субсидий на возмещение части затрат в целях создания и (или) развития, и (или) модернизации производства товаров (работ, услуг) (предусмотренный в 2025 году объем финансирования – 16,2 млн рублей).</w:t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II. Финансовая поддержка АНО "Омский центр инноваций социальной сферы" (далее – АНО "Омский ЦИСС"), предоставляемая Минэкономразвития.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Минэкономразвития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предоставляются субсидии некоммерческим организациям на финансовое обеспечение затрат, связанных с созданием и (или) развитием центра инноваций социальной сферы.</w:t>
      </w:r>
    </w:p>
    <w:p>
      <w:pPr>
        <w:pStyle w:val="Normal"/>
        <w:widowControl w:val="false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В 2024 году из областного бюджета направлено 1,71 млн рублей</w:t>
        <w:br/>
        <w:t>на реализацию АНО "Омский ЦИСС" следующего комплекса мероприятий: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- образовательные программы по подготовке социальных предпринимателей, в том числе специализированные модульные программы под отдельные целевые группы;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- консультационное, менторское сопровождение проектной деятельности участников образовательных программ;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- формирование кластера социальных инноваций, в рамках которого осуществляется инкубирование, ресурсная поддержка, внедрение и тиражирование инициатив и проектов, связанных с решением существующих проблем</w:t>
        <w:br/>
        <w:t>в социальной сфере.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 2024 году АНО "Омский ЦИСС" проведено обучение слушателей в Школе социального предпринимательства, информационно-консультационные мероприятия по вопросам развития социального предпринимательства с участием 935 СМСП и 762 физических лиц.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В апреле 2025 года Минэкономразвития предоставлена субсидия АНО "Омский ЦИСС" в целях финансового обеспечения затрат, связанных</w:t>
        <w:br/>
        <w:t>с созданием и (или) развитием центра инноваций социальной сферы, в сумме</w:t>
        <w:br/>
        <w:t>2,11 млн рублей.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АНО "Омский ЦИСС" в январе – апреле 2025 года проведены обучающие</w:t>
        <w:br/>
        <w:t>и информационно-консультационные мероприятия по вопросам развития социального предпринимательства с участием 44 СМСП и 131 физического лица.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 w:right="0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shd w:fill="FFFFFF" w:val="clear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III. Участие юридических лиц и индивидуальных предпринимателей, осуществляющих деятельность в социальной сфере, в конкурсах.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2024 году при поддержке Минэкономразвития России</w:t>
        <w:br/>
        <w:t>и федерально</w:t>
      </w:r>
      <w:r>
        <w:rPr>
          <w:rFonts w:cs="Times New Roman" w:ascii="Times New Roman" w:hAnsi="Times New Roman"/>
          <w:color w:val="000000"/>
          <w:sz w:val="28"/>
          <w:szCs w:val="28"/>
        </w:rPr>
        <w:t>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государственно</w:t>
      </w:r>
      <w:r>
        <w:rPr>
          <w:rFonts w:cs="Times New Roman" w:ascii="Times New Roman" w:hAnsi="Times New Roman"/>
          <w:color w:val="000000"/>
          <w:sz w:val="28"/>
          <w:szCs w:val="28"/>
        </w:rPr>
        <w:t>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бюджетно</w:t>
      </w:r>
      <w:r>
        <w:rPr>
          <w:rFonts w:cs="Times New Roman" w:ascii="Times New Roman" w:hAnsi="Times New Roman"/>
          <w:color w:val="000000"/>
          <w:sz w:val="28"/>
          <w:szCs w:val="28"/>
        </w:rPr>
        <w:t>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образовательно</w:t>
      </w:r>
      <w:r>
        <w:rPr>
          <w:rFonts w:cs="Times New Roman" w:ascii="Times New Roman" w:hAnsi="Times New Roman"/>
          <w:color w:val="000000"/>
          <w:sz w:val="28"/>
          <w:szCs w:val="28"/>
        </w:rPr>
        <w:t>го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учреждени</w:t>
      </w:r>
      <w:r>
        <w:rPr>
          <w:rFonts w:cs="Times New Roman" w:ascii="Times New Roman" w:hAnsi="Times New Roman"/>
          <w:color w:val="000000"/>
          <w:sz w:val="28"/>
          <w:szCs w:val="28"/>
        </w:rPr>
        <w:t>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высшего образования "Государственный университет управления" проведен региональный этап Всероссийского конкурса проектов в области социального предпринимательства и СОНКО "Мой добрый бизнес". Конкурс "Мой добрый бизнес" направлен на популяризацию и развитие социального предпринимательства и СОНКО, повышение престижа социальной деятельности</w:t>
        <w:br/>
        <w:t>в субъектах Российской Федерации.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 итогам регионального этапа, заявки на участие в котором принимались</w:t>
        <w:br/>
        <w:t>с 17 октября по 18 ноября 2024 года, победителями признаны 9 участников</w:t>
        <w:br/>
        <w:t>в следующих номинациях: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1) "Мой добрый стартап" (победитель – Омская региональная общественная организация инвалидов "Ресурсный центр помощи организациям инвалидов "Возрождение человека", проект "Мы вместе");</w:t>
      </w:r>
    </w:p>
    <w:p>
      <w:pPr>
        <w:pStyle w:val="Normal"/>
        <w:spacing w:lineRule="auto" w:line="240" w:before="0" w:after="0"/>
        <w:ind w:firstLine="709" w:right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2) "Работаю помогая" (победитель – АНО "Центр развития бизнес-инициатив", проект "</w:t>
      </w:r>
      <w:hyperlink r:id="rId2">
        <w:r>
          <w:rPr>
            <w:rStyle w:val="Hyperlink"/>
            <w:rFonts w:cs="Times New Roman" w:ascii="Times New Roman" w:hAnsi="Times New Roman"/>
            <w:color w:val="000000"/>
            <w:sz w:val="28"/>
            <w:szCs w:val="28"/>
            <w:u w:val="none"/>
          </w:rPr>
          <w:t>Достойная жизнь на свободе: трудовая адаптация осужденных через самозанятость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>");</w:t>
      </w:r>
    </w:p>
    <w:p>
      <w:pPr>
        <w:pStyle w:val="Normal"/>
        <w:spacing w:lineRule="auto" w:line="240" w:before="0" w:after="0"/>
        <w:ind w:firstLine="709" w:right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3) "Доброе содействие" (победители – АНО ДПО "Содействие", проект "</w:t>
      </w:r>
      <w:hyperlink r:id="rId3">
        <w:r>
          <w:rPr>
            <w:rStyle w:val="Hyperlink"/>
            <w:rFonts w:cs="Times New Roman" w:ascii="Times New Roman" w:hAnsi="Times New Roman"/>
            <w:color w:val="000000"/>
            <w:sz w:val="28"/>
            <w:szCs w:val="28"/>
            <w:u w:val="none"/>
          </w:rPr>
          <w:t>Омская Сударыня – фестиваль семейного патриотизма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>", местная общественная организация Исилькульского муниципального района Омской области "Ресурсный центр поддержки СОНКО "Гражданская инициатива", проект "Молодежный ресурсник");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4) "Добрая мама" (победитель – ИП Кравченко Анастасия Александровна, проект "Центр ранней нейрокоррекции");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5) "Молодой предприниматель" (победитель – ИП Ширяева Алина Сергеевна, проект "Фотостудия");</w:t>
      </w:r>
    </w:p>
    <w:p>
      <w:pPr>
        <w:pStyle w:val="Normal"/>
        <w:spacing w:lineRule="auto" w:line="240" w:before="0" w:after="0"/>
        <w:ind w:firstLine="709" w:right="0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6) "Добрый малый" (победитель – ИП Придворный Роман Евгеньевич, проект "</w:t>
      </w:r>
      <w:hyperlink r:id="rId4">
        <w:r>
          <w:rPr>
            <w:rStyle w:val="Hyperlink"/>
            <w:rFonts w:cs="Times New Roman" w:ascii="Times New Roman" w:hAnsi="Times New Roman"/>
            <w:color w:val="000000"/>
            <w:sz w:val="28"/>
            <w:szCs w:val="28"/>
            <w:u w:val="none"/>
          </w:rPr>
          <w:t>Глазопротезная помощь людям без одного или обоих глаз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>");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7) "Культурный код" (победитель – ООО "Атлант", проект "Студия национальной одежды "САУКЕЛЕ");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8) "Культурный код" (победитель – Омская областная общественная организация "Танцы без границ", проект "Танцы без границ").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 участие в межрегиональном этапе вышли 20 омских проектов.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2. Награждение ежегодной премии Губернатора Омской области "Семья года" состоялось 8 июня 2024 года. В номинации "Семейное дело" лауреатом стала семья социальных предпринимателей Алхамви Захира.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3. В городе Уфе 12 октября 2024 года состоялся II финал Федеральной премии "Деловой престиж", участие в которой приняли предприниматели Уральского федерального округа, а также Республики Башкортостан, Пермского края и Омской области.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Конкурс проходил в 16 номинациях бизнес-сферы. На участие в конкурсе поступило более 1 000 заявок. Омская область наряду со Свердловской областью</w:t>
        <w:br/>
        <w:t>и Республикой Башкортостан вошла в число регионов-лидеров по числу заявок.</w:t>
        <w:br/>
        <w:t>В лонг-лист вошли 12 омичек.</w:t>
      </w:r>
    </w:p>
    <w:p>
      <w:pPr>
        <w:pStyle w:val="Normal"/>
        <w:spacing w:lineRule="auto" w:line="240" w:before="0" w:after="0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финал вышли 7 омских участниц. Победителем в номинации "Здоровый образ жизни и спорт" стала социальный предприниматель Мартынова Ирина Геннадьевна (основатель спортивного центра "Адреналин").</w:t>
      </w:r>
    </w:p>
    <w:p>
      <w:pPr>
        <w:pStyle w:val="Normal"/>
        <w:spacing w:lineRule="auto" w:line="240" w:before="0" w:after="0"/>
        <w:ind w:firstLine="709" w:right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en-US"/>
        </w:rPr>
      </w:r>
    </w:p>
    <w:p>
      <w:pPr>
        <w:pStyle w:val="ConsPlusNonformat"/>
        <w:shd w:val="clear" w:fill="FFFFFF"/>
        <w:tabs>
          <w:tab w:val="clear" w:pos="708"/>
          <w:tab w:val="left" w:pos="993" w:leader="none"/>
        </w:tabs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I</w:t>
      </w: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  <w:lang w:val="en-US"/>
        </w:rPr>
        <w:t>V</w:t>
      </w:r>
      <w:r>
        <w:rPr>
          <w:rFonts w:cs="Times New Roman" w:ascii="Times New Roman" w:hAnsi="Times New Roman"/>
          <w:b/>
          <w:color w:val="000000"/>
          <w:sz w:val="28"/>
          <w:szCs w:val="28"/>
          <w:shd w:fill="FFFFFF" w:val="clear"/>
        </w:rPr>
        <w:t>. Поддержка социальных предприятий и СОНКО в виде налоговых преференций.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Социальные предприятия, осуществляющие деятельность в сфере образования, здравоохранения и социальных услуг, культуры, спорта, организации досуга и развлечений, могли воспользоваться в 2024 году налоговыми преференциями в соответствии со статьей 3.3 Закона Омской области от 25 мая 2020 года № 2270-ОЗ "Об установлении налоговых ставок для налогоплательщиков, применяющих упрощенную систему налогообложения" – пониженными налоговыми ставками по упрощенной системе налогообложения</w:t>
        <w:br/>
        <w:t>с объектом налогообложения "доходы" до 1 % и с объектом налогообложения "доходы минус расходы" до 5 % при условии получения не менее 70 % дохода</w:t>
        <w:br/>
        <w:t>за соответствующий отчетный (налоговый) период от осуществления деятельности по виду экономической деятельности в соответствии с ОКВЭД.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Социальные предприятия – юридические лица могли воспользоваться</w:t>
        <w:br/>
        <w:t>в 2024 году налоговыми преференциями в соответствии с подпунктом 7 пункта 1 статьи 4 Закона Омской области от 20 ноября 2022 года № 2514-ОЗ "О налоге</w:t>
        <w:br/>
        <w:t>на имущество организаций", освобождены от уплаты налога на имущество</w:t>
        <w:br/>
        <w:t>в отношении зданий и сооружений, являющихся согласно Федеральному закону</w:t>
        <w:br/>
        <w:t>от 4 декабря 2007 года № 329-ФЗ "О физической культуре и спорте</w:t>
        <w:br/>
        <w:t>в Российской Федерации" объектами спорта и имеющих ледовые площадки</w:t>
        <w:br/>
        <w:t>с искусственным льдом.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Аналогичными налоговыми преференциями могут воспользоваться</w:t>
        <w:br/>
        <w:t>и СОНКО.</w:t>
      </w:r>
    </w:p>
    <w:p>
      <w:pPr>
        <w:pStyle w:val="Style24"/>
        <w:ind w:firstLine="709" w:right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Информация о количестве организаций, воспользовавшихся данными преференциями в 2024 году, будет представлена в Минэкономразвития</w:t>
        <w:br/>
        <w:t>в июле 2025 года.</w:t>
      </w:r>
    </w:p>
    <w:sectPr>
      <w:headerReference w:type="default" r:id="rId5"/>
      <w:headerReference w:type="first" r:id="rId6"/>
      <w:type w:val="nextPage"/>
      <w:pgSz w:w="11906" w:h="16838"/>
      <w:pgMar w:left="1191" w:right="624" w:gutter="0" w:header="439" w:top="953" w:footer="0" w:bottom="98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Symbol">
    <w:charset w:val="01"/>
    <w:family w:val="roman"/>
    <w:pitch w:val="default"/>
  </w:font>
  <w:font w:name="Tahom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4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eastAsia="Times New Roman" w:cs="Cambria"/>
      <w:b/>
      <w:bCs/>
      <w:color w:val="365F91"/>
      <w:sz w:val="28"/>
      <w:szCs w:val="28"/>
      <w:lang w:val="ru-RU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b w:val="false"/>
    </w:rPr>
  </w:style>
  <w:style w:type="character" w:styleId="WW8Num6z0">
    <w:name w:val="WW8Num6z0"/>
    <w:qFormat/>
    <w:rPr>
      <w:rFonts w:ascii="Arial" w:hAnsi="Arial" w:cs="Arial"/>
    </w:rPr>
  </w:style>
  <w:style w:type="character" w:styleId="WW8Num7z0">
    <w:name w:val="WW8Num7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Calibri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1z0">
    <w:name w:val="WW8Num11z0"/>
    <w:qFormat/>
    <w:rPr>
      <w:b w:val="false"/>
    </w:rPr>
  </w:style>
  <w:style w:type="character" w:styleId="WW8Num12z0">
    <w:name w:val="WW8Num12z0"/>
    <w:qFormat/>
    <w:rPr/>
  </w:style>
  <w:style w:type="character" w:styleId="Style13">
    <w:name w:val="Основной шрифт абзаца"/>
    <w:qFormat/>
    <w:rPr/>
  </w:style>
  <w:style w:type="character" w:styleId="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Style14">
    <w:name w:val="Верхний колонтитул Знак"/>
    <w:basedOn w:val="Style13"/>
    <w:qFormat/>
    <w:rPr/>
  </w:style>
  <w:style w:type="character" w:styleId="Style15">
    <w:name w:val="Нижний колонтитул Знак"/>
    <w:qFormat/>
    <w:rPr>
      <w:sz w:val="22"/>
      <w:szCs w:val="22"/>
    </w:rPr>
  </w:style>
  <w:style w:type="character" w:styleId="Normaltextrunscxw84633811">
    <w:name w:val="normaltextrun scxw84633811"/>
    <w:basedOn w:val="Style13"/>
    <w:qFormat/>
    <w:rPr/>
  </w:style>
  <w:style w:type="character" w:styleId="Eopscxw84633811">
    <w:name w:val="eop scxw84633811"/>
    <w:basedOn w:val="Style13"/>
    <w:qFormat/>
    <w:rPr/>
  </w:style>
  <w:style w:type="character" w:styleId="Contextualspellingandgrammarerrorscxw84633811">
    <w:name w:val="contextualspellingandgrammarerror scxw84633811"/>
    <w:basedOn w:val="Style13"/>
    <w:qFormat/>
    <w:rPr/>
  </w:style>
  <w:style w:type="character" w:styleId="Spellingerrorscxw84633811">
    <w:name w:val="spellingerror scxw84633811"/>
    <w:basedOn w:val="Style13"/>
    <w:qFormat/>
    <w:rPr/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Style17">
    <w:name w:val="Без интервала Знак"/>
    <w:qFormat/>
    <w:rPr>
      <w:sz w:val="22"/>
      <w:szCs w:val="22"/>
      <w:lang w:bidi="ar-SA"/>
    </w:rPr>
  </w:style>
  <w:style w:type="character" w:styleId="FontStyle19">
    <w:name w:val="Font Style1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1">
    <w:name w:val="Font Style21"/>
    <w:qFormat/>
    <w:rPr>
      <w:rFonts w:ascii="Times New Roman" w:hAnsi="Times New Roman" w:cs="Times New Roman"/>
      <w:sz w:val="26"/>
      <w:szCs w:val="26"/>
    </w:rPr>
  </w:style>
  <w:style w:type="character" w:styleId="Normaltextrunscxw245687398">
    <w:name w:val="normaltextrun scxw245687398"/>
    <w:qFormat/>
    <w:rPr/>
  </w:style>
  <w:style w:type="character" w:styleId="2">
    <w:name w:val="Обычный (веб) Знак2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8">
    <w:name w:val="Абзац списка Знак"/>
    <w:qFormat/>
    <w:rPr>
      <w:sz w:val="22"/>
      <w:szCs w:val="22"/>
    </w:rPr>
  </w:style>
  <w:style w:type="character" w:styleId="HTML">
    <w:name w:val="Стандартный HTML Знак"/>
    <w:qFormat/>
    <w:rPr>
      <w:rFonts w:ascii="Courier New" w:hAnsi="Courier New" w:eastAsia="Times New Roman" w:cs="Courier New"/>
    </w:rPr>
  </w:style>
  <w:style w:type="character" w:styleId="Hyperlink">
    <w:name w:val="Hyperlink"/>
    <w:rPr>
      <w:color w:val="0000FF"/>
      <w:u w:val="single"/>
    </w:rPr>
  </w:style>
  <w:style w:type="character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styleId="Pt-a0">
    <w:name w:val="pt-a0"/>
    <w:basedOn w:val="Style13"/>
    <w:qFormat/>
    <w:rPr/>
  </w:style>
  <w:style w:type="character" w:styleId="Style19">
    <w:name w:val="Основной текст_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Extendedtext-short">
    <w:name w:val="extendedtext-short"/>
    <w:basedOn w:val="Style13"/>
    <w:qFormat/>
    <w:rPr/>
  </w:style>
  <w:style w:type="character" w:styleId="Style20">
    <w:name w:val="Знак Знак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Абзац списка"/>
    <w:basedOn w:val="Normal"/>
    <w:qFormat/>
    <w:pPr>
      <w:spacing w:before="0" w:after="200"/>
      <w:ind w:hanging="0" w:left="720"/>
      <w:contextualSpacing/>
    </w:pPr>
    <w:rPr>
      <w:lang w:val="ru-RU"/>
    </w:rPr>
  </w:style>
  <w:style w:type="paragraph" w:styleId="Style24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Style25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ru-RU"/>
    </w:rPr>
  </w:style>
  <w:style w:type="paragraph" w:styleId="Paragraphscxw84633811">
    <w:name w:val="paragraph scxw8463381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26">
    <w:name w:val="Текст выноски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  <w:lang w:val="ru-RU"/>
    </w:rPr>
  </w:style>
  <w:style w:type="paragraph" w:styleId="Style27">
    <w:name w:val="Обычный (веб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Account01">
    <w:name w:val="account01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zh-CN" w:bidi="ar-SA"/>
    </w:rPr>
  </w:style>
  <w:style w:type="paragraph" w:styleId="Style41">
    <w:name w:val="Style4"/>
    <w:basedOn w:val="Normal"/>
    <w:qFormat/>
    <w:pPr>
      <w:widowControl w:val="false"/>
      <w:spacing w:lineRule="exact" w:line="317" w:before="0" w:after="0"/>
      <w:ind w:firstLine="288"/>
    </w:pPr>
    <w:rPr>
      <w:rFonts w:ascii="Times New Roman" w:hAnsi="Times New Roman" w:eastAsia="Times New Roman" w:cs="Times New Roman"/>
      <w:sz w:val="24"/>
      <w:szCs w:val="24"/>
    </w:rPr>
  </w:style>
  <w:style w:type="paragraph" w:styleId="Paragraphscxw245687398">
    <w:name w:val="paragraph scxw245687398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HTML1">
    <w:name w:val="Стандартный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val="ru-RU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Batang;바탕" w:cs="Times New Roman"/>
      <w:b/>
      <w:bCs/>
      <w:color w:val="auto"/>
      <w:kern w:val="0"/>
      <w:sz w:val="24"/>
      <w:szCs w:val="24"/>
      <w:lang w:val="ru-RU" w:eastAsia="ko-KR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2"/>
      <w:szCs w:val="20"/>
      <w:lang w:val="ru-RU" w:eastAsia="zh-CN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zh-CN" w:bidi="ar-SA"/>
    </w:rPr>
  </w:style>
  <w:style w:type="paragraph" w:styleId="21">
    <w:name w:val="Основной текст2"/>
    <w:basedOn w:val="Normal"/>
    <w:qFormat/>
    <w:pPr>
      <w:widowControl w:val="false"/>
      <w:shd w:val="clear" w:fill="FFFFFF"/>
      <w:spacing w:lineRule="exact" w:line="317" w:before="0" w:after="0"/>
    </w:pPr>
    <w:rPr>
      <w:rFonts w:ascii="Times New Roman" w:hAnsi="Times New Roman" w:eastAsia="Times New Roman" w:cs="Times New Roman"/>
      <w:sz w:val="26"/>
      <w:szCs w:val="26"/>
      <w:lang w:val="ru-RU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right="19772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zh-CN" w:bidi="ar-SA"/>
    </w:rPr>
  </w:style>
  <w:style w:type="paragraph" w:styleId="11">
    <w:name w:val="Обычный1"/>
    <w:qFormat/>
    <w:pPr>
      <w:widowControl/>
      <w:suppressAutoHyphens w:val="true"/>
      <w:bidi w:val="0"/>
      <w:spacing w:before="0" w:after="0"/>
      <w:contextualSpacing/>
      <w:jc w:val="left"/>
    </w:pPr>
    <w:rPr>
      <w:rFonts w:ascii="Arial" w:hAnsi="Arial" w:eastAsia="Calibri" w:cs="Arial"/>
      <w:color w:val="auto"/>
      <w:kern w:val="0"/>
      <w:sz w:val="24"/>
      <w:szCs w:val="24"/>
      <w:lang w:val="ru-RU" w:eastAsia="zh-CN" w:bidi="ar-SA"/>
    </w:rPr>
  </w:style>
  <w:style w:type="paragraph" w:styleId="Style28">
    <w:name w:val="основной текст методрекомендаций"/>
    <w:basedOn w:val="Normal"/>
    <w:qFormat/>
    <w:pPr>
      <w:spacing w:lineRule="auto" w:line="240" w:before="0" w:after="0"/>
      <w:ind w:firstLine="708"/>
      <w:jc w:val="both"/>
    </w:pPr>
    <w:rPr>
      <w:rFonts w:ascii="Times New Roman" w:hAnsi="Times New Roman" w:eastAsia="Times New Roman" w:cs="Times New Roman"/>
      <w:color w:val="000000"/>
      <w:sz w:val="28"/>
      <w:szCs w:val="28"/>
    </w:rPr>
  </w:style>
  <w:style w:type="paragraph" w:styleId="Western">
    <w:name w:val="western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hanging="0" w:left="283"/>
    </w:pPr>
    <w:rPr/>
  </w:style>
  <w:style w:type="paragraph" w:styleId="NormalWeb">
    <w:name w:val="Normal (Web)"/>
    <w:basedOn w:val="Normal"/>
    <w:qFormat/>
    <w:pPr>
      <w:suppressAutoHyphens w:val="true"/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4"/>
      <w:szCs w:val="24"/>
      <w:lang w:val="ru-RU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oybusiness2025.guu.ru/my/kabinet-regionalnogo-kuratora/zayavki/proekty_4668.html" TargetMode="External"/><Relationship Id="rId3" Type="http://schemas.openxmlformats.org/officeDocument/2006/relationships/hyperlink" Target="https://moybusiness2025.guu.ru/my/kabinet-regionalnogo-kuratora/zayavki/proekty_3086.html" TargetMode="External"/><Relationship Id="rId4" Type="http://schemas.openxmlformats.org/officeDocument/2006/relationships/hyperlink" Target="https://moybusiness2025.guu.ru/my/kabinet-regionalnogo-kuratora/zayavki/proekty_3213.html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Application>LibreOffice/7.6.7.2$Linux_X86_64 LibreOffice_project/60$Build-2</Application>
  <AppVersion>15.0000</AppVersion>
  <Pages>4</Pages>
  <Words>1054</Words>
  <Characters>7539</Characters>
  <CharactersWithSpaces>8571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2022-03-15T15:33:00Z</dcterms:created>
  <dc:creator>Hewlett-Packard Company</dc:creator>
  <dc:description/>
  <dc:language>ru-RU</dc:language>
  <cp:lastModifiedBy/>
  <cp:lastPrinted>2023-06-28T12:28:00Z</cp:lastPrinted>
  <dcterms:modified xsi:type="dcterms:W3CDTF">2025-06-05T11:52:13Z</dcterms:modified>
  <cp:revision>156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